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D411DC" w:rsidRPr="00D411DC">
        <w:rPr>
          <w:sz w:val="23"/>
          <w:szCs w:val="23"/>
        </w:rPr>
        <w:t xml:space="preserve"> </w:t>
      </w:r>
      <w:r w:rsidR="004E627C" w:rsidRPr="004E627C">
        <w:rPr>
          <w:sz w:val="23"/>
          <w:szCs w:val="23"/>
        </w:rPr>
        <w:t>2860</w:t>
      </w:r>
      <w:r w:rsidR="00900356" w:rsidRPr="00900356">
        <w:rPr>
          <w:sz w:val="23"/>
          <w:szCs w:val="23"/>
        </w:rPr>
        <w:t xml:space="preserve"> </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4E627C" w:rsidRPr="004E627C">
        <w:rPr>
          <w:sz w:val="23"/>
          <w:szCs w:val="23"/>
        </w:rPr>
        <w:t>17</w:t>
      </w:r>
      <w:r>
        <w:rPr>
          <w:sz w:val="23"/>
          <w:szCs w:val="23"/>
        </w:rPr>
        <w:t>.</w:t>
      </w:r>
      <w:r w:rsidR="004E627C" w:rsidRPr="004E627C">
        <w:rPr>
          <w:sz w:val="23"/>
          <w:szCs w:val="23"/>
        </w:rPr>
        <w:t>01</w:t>
      </w:r>
      <w:r w:rsidR="007F6231" w:rsidRPr="007F6231">
        <w:rPr>
          <w:sz w:val="23"/>
          <w:szCs w:val="23"/>
        </w:rPr>
        <w:t>.</w:t>
      </w:r>
      <w:r>
        <w:rPr>
          <w:sz w:val="23"/>
          <w:szCs w:val="23"/>
        </w:rPr>
        <w:t>201</w:t>
      </w:r>
      <w:r w:rsidR="004E627C" w:rsidRPr="004E627C">
        <w:rPr>
          <w:sz w:val="23"/>
          <w:szCs w:val="23"/>
        </w:rPr>
        <w:t>8</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дохода владельцам ипотечных сертификатов участия за </w:t>
      </w:r>
      <w:r w:rsidR="004E627C">
        <w:rPr>
          <w:b/>
          <w:color w:val="000000"/>
          <w:sz w:val="24"/>
          <w:szCs w:val="24"/>
        </w:rPr>
        <w:t>декабрь</w:t>
      </w:r>
      <w:r w:rsidR="00D411DC">
        <w:rPr>
          <w:b/>
          <w:color w:val="000000"/>
          <w:sz w:val="24"/>
          <w:szCs w:val="24"/>
        </w:rPr>
        <w:t xml:space="preserve"> </w:t>
      </w:r>
      <w:r w:rsidRPr="007B6515">
        <w:rPr>
          <w:b/>
          <w:color w:val="000000"/>
          <w:sz w:val="24"/>
          <w:szCs w:val="24"/>
        </w:rPr>
        <w:t>201</w:t>
      </w:r>
      <w:r w:rsidR="00EA2619">
        <w:rPr>
          <w:b/>
          <w:color w:val="000000"/>
          <w:sz w:val="24"/>
          <w:szCs w:val="24"/>
        </w:rPr>
        <w:t>7</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4E627C">
        <w:rPr>
          <w:rFonts w:ascii="Times New Roman" w:hAnsi="Times New Roman"/>
          <w:sz w:val="24"/>
          <w:szCs w:val="24"/>
        </w:rPr>
        <w:t>декабря</w:t>
      </w:r>
      <w:r w:rsidR="006C3047">
        <w:rPr>
          <w:rFonts w:ascii="Times New Roman" w:hAnsi="Times New Roman"/>
          <w:sz w:val="24"/>
          <w:szCs w:val="24"/>
        </w:rPr>
        <w:t xml:space="preserve"> </w:t>
      </w:r>
      <w:r w:rsidRPr="00695C3C">
        <w:rPr>
          <w:rFonts w:ascii="Times New Roman" w:hAnsi="Times New Roman"/>
          <w:sz w:val="24"/>
          <w:szCs w:val="24"/>
        </w:rPr>
        <w:t>201</w:t>
      </w:r>
      <w:r w:rsidR="00EA2619">
        <w:rPr>
          <w:rFonts w:ascii="Times New Roman" w:hAnsi="Times New Roman"/>
          <w:sz w:val="24"/>
          <w:szCs w:val="24"/>
        </w:rPr>
        <w:t>7</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7F2789">
        <w:rPr>
          <w:rFonts w:ascii="Times New Roman" w:hAnsi="Times New Roman"/>
          <w:sz w:val="24"/>
          <w:szCs w:val="24"/>
        </w:rPr>
        <w:t>3</w:t>
      </w:r>
      <w:r w:rsidR="004E627C">
        <w:rPr>
          <w:rFonts w:ascii="Times New Roman" w:hAnsi="Times New Roman"/>
          <w:sz w:val="24"/>
          <w:szCs w:val="24"/>
        </w:rPr>
        <w:t>1</w:t>
      </w:r>
      <w:r w:rsidRPr="00695C3C">
        <w:rPr>
          <w:rFonts w:ascii="Times New Roman" w:hAnsi="Times New Roman"/>
          <w:sz w:val="24"/>
          <w:szCs w:val="24"/>
        </w:rPr>
        <w:t xml:space="preserve"> </w:t>
      </w:r>
      <w:r w:rsidR="004E627C">
        <w:rPr>
          <w:rFonts w:ascii="Times New Roman" w:hAnsi="Times New Roman"/>
          <w:sz w:val="24"/>
          <w:szCs w:val="24"/>
        </w:rPr>
        <w:t>декабря</w:t>
      </w:r>
      <w:r w:rsidRPr="00695C3C">
        <w:rPr>
          <w:rFonts w:ascii="Times New Roman" w:hAnsi="Times New Roman"/>
          <w:sz w:val="24"/>
          <w:szCs w:val="24"/>
        </w:rPr>
        <w:t xml:space="preserve"> 20</w:t>
      </w:r>
      <w:r>
        <w:rPr>
          <w:rFonts w:ascii="Times New Roman" w:hAnsi="Times New Roman"/>
          <w:sz w:val="24"/>
          <w:szCs w:val="24"/>
        </w:rPr>
        <w:t>1</w:t>
      </w:r>
      <w:r w:rsidR="00EA2619">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D411DC">
        <w:rPr>
          <w:rFonts w:ascii="Times New Roman" w:hAnsi="Times New Roman"/>
          <w:sz w:val="24"/>
          <w:szCs w:val="24"/>
        </w:rPr>
        <w:t>3</w:t>
      </w:r>
      <w:r w:rsidR="004E627C">
        <w:rPr>
          <w:rFonts w:ascii="Times New Roman" w:hAnsi="Times New Roman"/>
          <w:sz w:val="24"/>
          <w:szCs w:val="24"/>
        </w:rPr>
        <w:t>6</w:t>
      </w:r>
      <w:r w:rsidRPr="00923B9A">
        <w:rPr>
          <w:rFonts w:ascii="Times New Roman" w:hAnsi="Times New Roman"/>
          <w:sz w:val="24"/>
          <w:szCs w:val="24"/>
        </w:rPr>
        <w:t xml:space="preserve"> </w:t>
      </w:r>
      <w:r w:rsidR="00737E98">
        <w:rPr>
          <w:rFonts w:ascii="Times New Roman" w:hAnsi="Times New Roman"/>
          <w:sz w:val="24"/>
          <w:szCs w:val="24"/>
        </w:rPr>
        <w:t>(</w:t>
      </w:r>
      <w:r w:rsidR="00D411DC">
        <w:rPr>
          <w:rFonts w:ascii="Times New Roman" w:hAnsi="Times New Roman"/>
          <w:sz w:val="24"/>
          <w:szCs w:val="24"/>
        </w:rPr>
        <w:t xml:space="preserve">Тридцать </w:t>
      </w:r>
      <w:r w:rsidR="004E627C">
        <w:rPr>
          <w:rFonts w:ascii="Times New Roman" w:hAnsi="Times New Roman"/>
          <w:sz w:val="24"/>
          <w:szCs w:val="24"/>
        </w:rPr>
        <w:t>шесть</w:t>
      </w:r>
      <w:r>
        <w:rPr>
          <w:rFonts w:ascii="Times New Roman" w:hAnsi="Times New Roman"/>
          <w:sz w:val="24"/>
          <w:szCs w:val="24"/>
        </w:rPr>
        <w:t>) руб.</w:t>
      </w:r>
      <w:r w:rsidR="00572253">
        <w:rPr>
          <w:rFonts w:ascii="Times New Roman" w:hAnsi="Times New Roman"/>
          <w:sz w:val="24"/>
          <w:szCs w:val="24"/>
        </w:rPr>
        <w:t xml:space="preserve"> </w:t>
      </w:r>
      <w:r w:rsidR="004E627C">
        <w:rPr>
          <w:rFonts w:ascii="Times New Roman" w:hAnsi="Times New Roman"/>
          <w:sz w:val="24"/>
          <w:szCs w:val="24"/>
        </w:rPr>
        <w:t>89</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D411DC">
        <w:rPr>
          <w:rFonts w:ascii="Times New Roman" w:hAnsi="Times New Roman"/>
          <w:sz w:val="24"/>
          <w:szCs w:val="24"/>
        </w:rPr>
        <w:t>3</w:t>
      </w:r>
      <w:r w:rsidR="004E627C">
        <w:rPr>
          <w:rFonts w:ascii="Times New Roman" w:hAnsi="Times New Roman"/>
          <w:sz w:val="24"/>
          <w:szCs w:val="24"/>
        </w:rPr>
        <w:t>6</w:t>
      </w:r>
      <w:r w:rsidR="006A08FD">
        <w:rPr>
          <w:rFonts w:ascii="Times New Roman" w:hAnsi="Times New Roman"/>
          <w:sz w:val="24"/>
          <w:szCs w:val="24"/>
        </w:rPr>
        <w:t>,</w:t>
      </w:r>
      <w:r w:rsidR="004E627C">
        <w:rPr>
          <w:rFonts w:ascii="Times New Roman" w:hAnsi="Times New Roman"/>
          <w:sz w:val="24"/>
          <w:szCs w:val="24"/>
        </w:rPr>
        <w:t>8</w:t>
      </w:r>
      <w:r w:rsidR="00D411DC">
        <w:rPr>
          <w:rFonts w:ascii="Times New Roman" w:hAnsi="Times New Roman"/>
          <w:sz w:val="24"/>
          <w:szCs w:val="24"/>
        </w:rPr>
        <w:t>9</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D411DC">
        <w:rPr>
          <w:rFonts w:ascii="Times New Roman" w:hAnsi="Times New Roman"/>
          <w:sz w:val="24"/>
          <w:szCs w:val="24"/>
        </w:rPr>
        <w:t>0</w:t>
      </w:r>
      <w:r w:rsidR="007F6231">
        <w:rPr>
          <w:rFonts w:ascii="Times New Roman" w:hAnsi="Times New Roman"/>
          <w:sz w:val="24"/>
          <w:szCs w:val="24"/>
        </w:rPr>
        <w:t>,</w:t>
      </w:r>
      <w:r w:rsidR="005810E9">
        <w:rPr>
          <w:rFonts w:ascii="Times New Roman" w:hAnsi="Times New Roman"/>
          <w:sz w:val="24"/>
          <w:szCs w:val="24"/>
        </w:rPr>
        <w:t>0</w:t>
      </w:r>
      <w:r w:rsidR="00D411DC">
        <w:rPr>
          <w:rFonts w:ascii="Times New Roman" w:hAnsi="Times New Roman"/>
          <w:sz w:val="24"/>
          <w:szCs w:val="24"/>
        </w:rPr>
        <w:t>0</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D411DC">
        <w:rPr>
          <w:sz w:val="24"/>
          <w:szCs w:val="24"/>
        </w:rPr>
        <w:t>3</w:t>
      </w:r>
      <w:r w:rsidR="004E627C">
        <w:rPr>
          <w:sz w:val="24"/>
          <w:szCs w:val="24"/>
        </w:rPr>
        <w:t>6</w:t>
      </w:r>
      <w:r w:rsidR="00D411DC">
        <w:rPr>
          <w:sz w:val="24"/>
          <w:szCs w:val="24"/>
        </w:rPr>
        <w:t> </w:t>
      </w:r>
      <w:r w:rsidR="004E627C">
        <w:rPr>
          <w:sz w:val="24"/>
          <w:szCs w:val="24"/>
        </w:rPr>
        <w:t>888</w:t>
      </w:r>
      <w:r w:rsidR="00D411DC">
        <w:rPr>
          <w:sz w:val="24"/>
          <w:szCs w:val="24"/>
        </w:rPr>
        <w:t xml:space="preserve"> </w:t>
      </w:r>
      <w:r w:rsidR="004E627C">
        <w:rPr>
          <w:sz w:val="24"/>
          <w:szCs w:val="24"/>
        </w:rPr>
        <w:t>210</w:t>
      </w:r>
      <w:r w:rsidR="00360D9C">
        <w:rPr>
          <w:sz w:val="24"/>
          <w:szCs w:val="24"/>
        </w:rPr>
        <w:t xml:space="preserve"> (</w:t>
      </w:r>
      <w:r w:rsidR="00D411DC">
        <w:rPr>
          <w:sz w:val="24"/>
          <w:szCs w:val="24"/>
        </w:rPr>
        <w:t xml:space="preserve">Тридцать </w:t>
      </w:r>
      <w:r w:rsidR="004E627C">
        <w:rPr>
          <w:sz w:val="24"/>
          <w:szCs w:val="24"/>
        </w:rPr>
        <w:t>шесть миллионов восемьсот восемьдесят восемь тысяч двести десять</w:t>
      </w:r>
      <w:r w:rsidRPr="00066830">
        <w:rPr>
          <w:sz w:val="24"/>
          <w:szCs w:val="24"/>
        </w:rPr>
        <w:t xml:space="preserve">) </w:t>
      </w:r>
      <w:r w:rsidR="00737E98">
        <w:rPr>
          <w:sz w:val="24"/>
          <w:szCs w:val="24"/>
        </w:rPr>
        <w:t>рубл</w:t>
      </w:r>
      <w:r w:rsidR="00F24BB4">
        <w:rPr>
          <w:sz w:val="24"/>
          <w:szCs w:val="24"/>
        </w:rPr>
        <w:t>ей</w:t>
      </w:r>
      <w:r w:rsidRPr="00066830">
        <w:rPr>
          <w:sz w:val="24"/>
          <w:szCs w:val="24"/>
        </w:rPr>
        <w:t xml:space="preserve"> </w:t>
      </w:r>
      <w:r w:rsidR="004E627C">
        <w:rPr>
          <w:sz w:val="24"/>
          <w:szCs w:val="24"/>
        </w:rPr>
        <w:t>98</w:t>
      </w:r>
      <w:r w:rsidRPr="00066830">
        <w:rPr>
          <w:sz w:val="24"/>
          <w:szCs w:val="24"/>
        </w:rPr>
        <w:t xml:space="preserve"> копе</w:t>
      </w:r>
      <w:r w:rsidR="004E627C">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4E627C">
        <w:rPr>
          <w:sz w:val="24"/>
          <w:szCs w:val="24"/>
        </w:rPr>
        <w:t>36 888 210</w:t>
      </w:r>
      <w:r w:rsidR="00900356">
        <w:rPr>
          <w:sz w:val="24"/>
          <w:szCs w:val="24"/>
        </w:rPr>
        <w:t>,</w:t>
      </w:r>
      <w:r w:rsidR="004E627C">
        <w:rPr>
          <w:sz w:val="24"/>
          <w:szCs w:val="24"/>
        </w:rPr>
        <w:t>98</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D411DC">
        <w:rPr>
          <w:sz w:val="24"/>
          <w:szCs w:val="24"/>
        </w:rPr>
        <w:t>0</w:t>
      </w:r>
      <w:r w:rsidR="00D45B3F">
        <w:rPr>
          <w:sz w:val="24"/>
          <w:szCs w:val="24"/>
        </w:rPr>
        <w:t>,</w:t>
      </w:r>
      <w:r w:rsidR="00D411DC">
        <w:rPr>
          <w:sz w:val="24"/>
          <w:szCs w:val="24"/>
        </w:rPr>
        <w:t>0</w:t>
      </w:r>
      <w:r w:rsidR="005810E9">
        <w:rPr>
          <w:sz w:val="24"/>
          <w:szCs w:val="24"/>
        </w:rPr>
        <w:t>0</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B01A1"/>
    <w:rsid w:val="000F14DE"/>
    <w:rsid w:val="00112A7E"/>
    <w:rsid w:val="00122233"/>
    <w:rsid w:val="001351E9"/>
    <w:rsid w:val="001371FF"/>
    <w:rsid w:val="001531BF"/>
    <w:rsid w:val="001922A3"/>
    <w:rsid w:val="001A44F0"/>
    <w:rsid w:val="001B785D"/>
    <w:rsid w:val="001D2BC3"/>
    <w:rsid w:val="001D460D"/>
    <w:rsid w:val="002135B4"/>
    <w:rsid w:val="002147B0"/>
    <w:rsid w:val="00246A78"/>
    <w:rsid w:val="0024754E"/>
    <w:rsid w:val="0025762D"/>
    <w:rsid w:val="002642A3"/>
    <w:rsid w:val="00274D3F"/>
    <w:rsid w:val="0029704B"/>
    <w:rsid w:val="002A153A"/>
    <w:rsid w:val="002A28AF"/>
    <w:rsid w:val="003009B7"/>
    <w:rsid w:val="00317B72"/>
    <w:rsid w:val="00320C23"/>
    <w:rsid w:val="003303DC"/>
    <w:rsid w:val="003306AE"/>
    <w:rsid w:val="00360D9C"/>
    <w:rsid w:val="00374694"/>
    <w:rsid w:val="003751D4"/>
    <w:rsid w:val="003E6DBB"/>
    <w:rsid w:val="00444BFF"/>
    <w:rsid w:val="004868C7"/>
    <w:rsid w:val="004E627C"/>
    <w:rsid w:val="005023C4"/>
    <w:rsid w:val="005174A0"/>
    <w:rsid w:val="00525D8A"/>
    <w:rsid w:val="00531D13"/>
    <w:rsid w:val="00570F66"/>
    <w:rsid w:val="00572253"/>
    <w:rsid w:val="0057773D"/>
    <w:rsid w:val="005810E9"/>
    <w:rsid w:val="005A3F21"/>
    <w:rsid w:val="005D40FD"/>
    <w:rsid w:val="005E1778"/>
    <w:rsid w:val="00655868"/>
    <w:rsid w:val="006A08FD"/>
    <w:rsid w:val="006C3047"/>
    <w:rsid w:val="00701E4E"/>
    <w:rsid w:val="00702D1D"/>
    <w:rsid w:val="00737E98"/>
    <w:rsid w:val="00745D4C"/>
    <w:rsid w:val="007561E4"/>
    <w:rsid w:val="007862B6"/>
    <w:rsid w:val="007F2789"/>
    <w:rsid w:val="007F6231"/>
    <w:rsid w:val="00807949"/>
    <w:rsid w:val="0084548D"/>
    <w:rsid w:val="00853073"/>
    <w:rsid w:val="00871C91"/>
    <w:rsid w:val="008B52A8"/>
    <w:rsid w:val="008D14FC"/>
    <w:rsid w:val="008D7A9F"/>
    <w:rsid w:val="008E57AD"/>
    <w:rsid w:val="00900356"/>
    <w:rsid w:val="00902376"/>
    <w:rsid w:val="00907921"/>
    <w:rsid w:val="00961464"/>
    <w:rsid w:val="009659B7"/>
    <w:rsid w:val="009B2E98"/>
    <w:rsid w:val="009C035E"/>
    <w:rsid w:val="00A12176"/>
    <w:rsid w:val="00A40516"/>
    <w:rsid w:val="00A43170"/>
    <w:rsid w:val="00A458F6"/>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411DC"/>
    <w:rsid w:val="00D45B3F"/>
    <w:rsid w:val="00D60CB6"/>
    <w:rsid w:val="00D658AA"/>
    <w:rsid w:val="00DE4462"/>
    <w:rsid w:val="00DF740E"/>
    <w:rsid w:val="00E203D3"/>
    <w:rsid w:val="00E2450A"/>
    <w:rsid w:val="00EA2619"/>
    <w:rsid w:val="00ED47CA"/>
    <w:rsid w:val="00F20826"/>
    <w:rsid w:val="00F24BB4"/>
    <w:rsid w:val="00F512A2"/>
    <w:rsid w:val="00F5421F"/>
    <w:rsid w:val="00F72BD1"/>
    <w:rsid w:val="00F76CE5"/>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354</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28</cp:revision>
  <cp:lastPrinted>2016-12-09T07:09:00Z</cp:lastPrinted>
  <dcterms:created xsi:type="dcterms:W3CDTF">2016-06-10T10:18:00Z</dcterms:created>
  <dcterms:modified xsi:type="dcterms:W3CDTF">2018-01-17T13:17:00Z</dcterms:modified>
</cp:coreProperties>
</file>